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69" w:rsidRDefault="00511B69" w:rsidP="00090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11B69" w:rsidRDefault="00511B69" w:rsidP="0051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E7CE539" wp14:editId="48729EFD">
            <wp:extent cx="1568450" cy="455870"/>
            <wp:effectExtent l="0" t="0" r="0" b="1905"/>
            <wp:docPr id="4" name="Immagine 4" descr="CDC_RGB_L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DC_RGB_L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88" cy="45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B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9C54516" wp14:editId="2FF82BF8">
            <wp:extent cx="1377950" cy="533115"/>
            <wp:effectExtent l="0" t="0" r="0" b="635"/>
            <wp:docPr id="2" name="Immagine 2" descr="C:\Users\matteo.zilocchi\Downloads\25 PROMOS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.zilocchi\Downloads\25 PROMOS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17" cy="5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522" w:rsidRDefault="00232522" w:rsidP="00090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0"/>
          <w:szCs w:val="24"/>
          <w:lang w:eastAsia="it-IT"/>
        </w:rPr>
      </w:pPr>
      <w:r w:rsidRPr="00074414">
        <w:rPr>
          <w:rFonts w:ascii="Times New Roman" w:eastAsia="Times New Roman" w:hAnsi="Times New Roman" w:cs="Times New Roman"/>
          <w:bCs/>
          <w:i/>
          <w:sz w:val="20"/>
          <w:szCs w:val="24"/>
          <w:lang w:eastAsia="it-IT"/>
        </w:rPr>
        <w:t>Ufficio stampa tel. 02/8515.5224-5298, 335.6413321 – 335.5827232</w:t>
      </w:r>
    </w:p>
    <w:p w:rsidR="000903F4" w:rsidRDefault="000903F4" w:rsidP="000903F4">
      <w:pPr>
        <w:keepNext/>
        <w:spacing w:after="0" w:line="240" w:lineRule="auto"/>
        <w:jc w:val="center"/>
        <w:outlineLvl w:val="0"/>
        <w:rPr>
          <w:i/>
          <w:highlight w:val="yellow"/>
        </w:rPr>
      </w:pPr>
    </w:p>
    <w:p w:rsidR="009D60F2" w:rsidRDefault="00FF1323" w:rsidP="008B3D6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Lombardia e Turchia, un interscambio </w:t>
      </w:r>
    </w:p>
    <w:p w:rsidR="00232522" w:rsidRPr="007208FB" w:rsidRDefault="00FF1323" w:rsidP="008B3D6B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da 4 miliardi di euro</w:t>
      </w:r>
    </w:p>
    <w:p w:rsidR="007208FB" w:rsidRDefault="00FF1323" w:rsidP="00801DB4">
      <w:pPr>
        <w:shd w:val="clear" w:color="auto" w:fill="FFFFFF"/>
        <w:spacing w:after="0" w:line="240" w:lineRule="auto"/>
        <w:ind w:left="-426" w:right="-285"/>
        <w:jc w:val="center"/>
        <w:rPr>
          <w:rFonts w:ascii="Times New Roman" w:eastAsiaTheme="minorEastAsia" w:hAnsi="Times New Roman"/>
          <w:i/>
          <w:iCs/>
          <w:sz w:val="36"/>
          <w:szCs w:val="36"/>
          <w:lang w:eastAsia="it-IT"/>
        </w:rPr>
      </w:pPr>
      <w:r>
        <w:rPr>
          <w:rFonts w:ascii="Times New Roman" w:eastAsiaTheme="minorEastAsia" w:hAnsi="Times New Roman"/>
          <w:i/>
          <w:iCs/>
          <w:sz w:val="36"/>
          <w:szCs w:val="36"/>
          <w:lang w:eastAsia="it-IT"/>
        </w:rPr>
        <w:t>In crescita del 4% nel 2015. La metà, 2 miliardi, con</w:t>
      </w:r>
      <w:r w:rsidR="009D2539">
        <w:rPr>
          <w:rFonts w:ascii="Times New Roman" w:eastAsiaTheme="minorEastAsia" w:hAnsi="Times New Roman"/>
          <w:i/>
          <w:iCs/>
          <w:sz w:val="36"/>
          <w:szCs w:val="36"/>
          <w:lang w:eastAsia="it-IT"/>
        </w:rPr>
        <w:t xml:space="preserve"> Milano</w:t>
      </w:r>
    </w:p>
    <w:p w:rsidR="00586431" w:rsidRDefault="009D2539" w:rsidP="00801DB4">
      <w:pPr>
        <w:shd w:val="clear" w:color="auto" w:fill="FFFFFF"/>
        <w:spacing w:after="0" w:line="240" w:lineRule="auto"/>
        <w:ind w:left="-426" w:right="-285"/>
        <w:jc w:val="center"/>
        <w:rPr>
          <w:rFonts w:ascii="Times New Roman" w:eastAsiaTheme="minorEastAsia" w:hAnsi="Times New Roman"/>
          <w:i/>
          <w:iCs/>
          <w:sz w:val="36"/>
          <w:szCs w:val="36"/>
          <w:lang w:eastAsia="it-IT"/>
        </w:rPr>
      </w:pPr>
      <w:r>
        <w:rPr>
          <w:rFonts w:ascii="Times New Roman" w:eastAsiaTheme="minorEastAsia" w:hAnsi="Times New Roman"/>
          <w:i/>
          <w:iCs/>
          <w:sz w:val="36"/>
          <w:szCs w:val="36"/>
          <w:lang w:eastAsia="it-IT"/>
        </w:rPr>
        <w:t>Seguono Brescia, Bergamo e Varese. In forte crescita Mantova</w:t>
      </w:r>
    </w:p>
    <w:p w:rsidR="009D2539" w:rsidRPr="007F0D13" w:rsidRDefault="00EC72F4" w:rsidP="00801DB4">
      <w:pPr>
        <w:shd w:val="clear" w:color="auto" w:fill="FFFFFF"/>
        <w:spacing w:after="0" w:line="240" w:lineRule="auto"/>
        <w:ind w:left="-426" w:right="-285"/>
        <w:jc w:val="center"/>
        <w:rPr>
          <w:rFonts w:ascii="Times New Roman" w:eastAsiaTheme="minorEastAsia" w:hAnsi="Times New Roman"/>
          <w:i/>
          <w:iCs/>
          <w:sz w:val="36"/>
          <w:szCs w:val="36"/>
          <w:lang w:eastAsia="it-IT"/>
        </w:rPr>
      </w:pPr>
      <w:r>
        <w:rPr>
          <w:rFonts w:ascii="Times New Roman" w:eastAsiaTheme="minorEastAsia" w:hAnsi="Times New Roman"/>
          <w:i/>
          <w:iCs/>
          <w:sz w:val="36"/>
          <w:szCs w:val="36"/>
          <w:lang w:eastAsia="it-IT"/>
        </w:rPr>
        <w:t>Macchinari e tessili i prodotti più esportati e importati</w:t>
      </w:r>
    </w:p>
    <w:p w:rsidR="00232522" w:rsidRPr="009A545A" w:rsidRDefault="00232522" w:rsidP="00801DB4">
      <w:pPr>
        <w:spacing w:after="0" w:line="240" w:lineRule="auto"/>
        <w:ind w:left="-426" w:right="-285"/>
        <w:rPr>
          <w:rFonts w:ascii="Times New Roman" w:hAnsi="Times New Roman" w:cs="Times New Roman"/>
          <w:i/>
          <w:sz w:val="10"/>
          <w:szCs w:val="10"/>
          <w:highlight w:val="yellow"/>
        </w:rPr>
      </w:pPr>
    </w:p>
    <w:p w:rsidR="00D66C79" w:rsidRDefault="00232522" w:rsidP="00FA0B6E">
      <w:p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3A0CEF">
        <w:rPr>
          <w:rFonts w:ascii="Times New Roman" w:hAnsi="Times New Roman" w:cs="Times New Roman"/>
          <w:i/>
          <w:sz w:val="24"/>
          <w:szCs w:val="24"/>
        </w:rPr>
        <w:t>Milano,</w:t>
      </w:r>
      <w:r w:rsidR="008B3D6B" w:rsidRPr="003A0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56">
        <w:rPr>
          <w:rFonts w:ascii="Times New Roman" w:hAnsi="Times New Roman" w:cs="Times New Roman"/>
          <w:i/>
          <w:sz w:val="24"/>
          <w:szCs w:val="24"/>
        </w:rPr>
        <w:t xml:space="preserve">20 luglio </w:t>
      </w:r>
      <w:r w:rsidRPr="003A0CEF">
        <w:rPr>
          <w:rFonts w:ascii="Times New Roman" w:hAnsi="Times New Roman" w:cs="Times New Roman"/>
          <w:i/>
          <w:sz w:val="24"/>
          <w:szCs w:val="24"/>
        </w:rPr>
        <w:t>201</w:t>
      </w:r>
      <w:r w:rsidR="00763FFD" w:rsidRPr="003A0CEF">
        <w:rPr>
          <w:rFonts w:ascii="Times New Roman" w:hAnsi="Times New Roman" w:cs="Times New Roman"/>
          <w:i/>
          <w:sz w:val="24"/>
          <w:szCs w:val="24"/>
        </w:rPr>
        <w:t>6</w:t>
      </w:r>
      <w:r w:rsidR="00801DB4" w:rsidRPr="003A0CEF">
        <w:rPr>
          <w:rFonts w:ascii="Times New Roman" w:hAnsi="Times New Roman" w:cs="Times New Roman"/>
          <w:sz w:val="24"/>
          <w:szCs w:val="24"/>
        </w:rPr>
        <w:t xml:space="preserve">. </w:t>
      </w:r>
      <w:r w:rsidR="00586431" w:rsidRPr="003A0CEF">
        <w:rPr>
          <w:rFonts w:ascii="Times New Roman" w:hAnsi="Times New Roman" w:cs="Times New Roman"/>
          <w:sz w:val="24"/>
          <w:szCs w:val="24"/>
        </w:rPr>
        <w:t xml:space="preserve">Tra Lombardia e Turchia </w:t>
      </w:r>
      <w:r w:rsidR="00FF1323">
        <w:rPr>
          <w:rFonts w:ascii="Times New Roman" w:hAnsi="Times New Roman" w:cs="Times New Roman"/>
          <w:sz w:val="24"/>
          <w:szCs w:val="24"/>
        </w:rPr>
        <w:t>l’interscambio</w:t>
      </w:r>
      <w:r w:rsidR="00586431" w:rsidRPr="003A0CEF">
        <w:rPr>
          <w:rFonts w:ascii="Times New Roman" w:hAnsi="Times New Roman" w:cs="Times New Roman"/>
          <w:sz w:val="24"/>
          <w:szCs w:val="24"/>
        </w:rPr>
        <w:t xml:space="preserve"> </w:t>
      </w:r>
      <w:r w:rsidR="00FF1323">
        <w:rPr>
          <w:rFonts w:ascii="Times New Roman" w:hAnsi="Times New Roman" w:cs="Times New Roman"/>
          <w:sz w:val="24"/>
          <w:szCs w:val="24"/>
        </w:rPr>
        <w:t>commerciale ha superato</w:t>
      </w:r>
      <w:r w:rsidR="00586431" w:rsidRPr="003A0CEF">
        <w:rPr>
          <w:rFonts w:ascii="Times New Roman" w:hAnsi="Times New Roman" w:cs="Times New Roman"/>
          <w:sz w:val="24"/>
          <w:szCs w:val="24"/>
        </w:rPr>
        <w:t xml:space="preserve"> i 4 miliardi nel 2015, +4% rispetto all’anno precedente, oltre un quarto del totale italiano. </w:t>
      </w:r>
      <w:r w:rsidR="00D66C79">
        <w:rPr>
          <w:rFonts w:ascii="Times New Roman" w:hAnsi="Times New Roman" w:cs="Times New Roman"/>
          <w:sz w:val="24"/>
          <w:szCs w:val="24"/>
        </w:rPr>
        <w:t xml:space="preserve">Un trend che si conferma anche nei primi tre mesi del 2016: </w:t>
      </w:r>
      <w:r w:rsidR="00A200B4">
        <w:rPr>
          <w:rFonts w:ascii="Times New Roman" w:hAnsi="Times New Roman" w:cs="Times New Roman"/>
          <w:sz w:val="24"/>
          <w:szCs w:val="24"/>
        </w:rPr>
        <w:t>più di</w:t>
      </w:r>
      <w:r w:rsidR="00D66C79">
        <w:rPr>
          <w:rFonts w:ascii="Times New Roman" w:hAnsi="Times New Roman" w:cs="Times New Roman"/>
          <w:sz w:val="24"/>
          <w:szCs w:val="24"/>
        </w:rPr>
        <w:t xml:space="preserve"> un miliardo di euro, +3%</w:t>
      </w:r>
      <w:r w:rsidR="00A200B4">
        <w:rPr>
          <w:rFonts w:ascii="Times New Roman" w:hAnsi="Times New Roman" w:cs="Times New Roman"/>
          <w:sz w:val="24"/>
          <w:szCs w:val="24"/>
        </w:rPr>
        <w:t>, 27,3% del totale nazionale</w:t>
      </w:r>
      <w:r w:rsidR="00D66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B6E" w:rsidRDefault="00586431" w:rsidP="00FA0B6E">
      <w:p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3A0CEF">
        <w:rPr>
          <w:rFonts w:ascii="Times New Roman" w:hAnsi="Times New Roman" w:cs="Times New Roman"/>
          <w:sz w:val="24"/>
          <w:szCs w:val="24"/>
        </w:rPr>
        <w:t>Quasi la metà di questo commercio estero si concentra a Milano (2 miliardi di euro</w:t>
      </w:r>
      <w:r w:rsidR="00FF1323">
        <w:rPr>
          <w:rFonts w:ascii="Times New Roman" w:hAnsi="Times New Roman" w:cs="Times New Roman"/>
          <w:sz w:val="24"/>
          <w:szCs w:val="24"/>
        </w:rPr>
        <w:t xml:space="preserve"> nel 2015</w:t>
      </w:r>
      <w:r w:rsidRPr="003A0CEF">
        <w:rPr>
          <w:rFonts w:ascii="Times New Roman" w:hAnsi="Times New Roman" w:cs="Times New Roman"/>
          <w:sz w:val="24"/>
          <w:szCs w:val="24"/>
        </w:rPr>
        <w:t xml:space="preserve">), seguono Brescia e Bergamo con quasi mezzo miliardo a testa. Superano i 300 milioni anche Varese e Mantova che cresce del 19,4%. </w:t>
      </w:r>
      <w:r w:rsidR="00615C00" w:rsidRPr="003A0CEF">
        <w:rPr>
          <w:rFonts w:ascii="Times New Roman" w:hAnsi="Times New Roman" w:cs="Times New Roman"/>
          <w:sz w:val="24"/>
          <w:szCs w:val="24"/>
        </w:rPr>
        <w:t xml:space="preserve">I prodotti lombardi più richiesti sul mercato </w:t>
      </w:r>
      <w:r w:rsidR="009D2539" w:rsidRPr="003A0CEF">
        <w:rPr>
          <w:rFonts w:ascii="Times New Roman" w:hAnsi="Times New Roman" w:cs="Times New Roman"/>
          <w:sz w:val="24"/>
          <w:szCs w:val="24"/>
        </w:rPr>
        <w:t>turco</w:t>
      </w:r>
      <w:r w:rsidR="00615C00" w:rsidRPr="003A0CEF">
        <w:rPr>
          <w:rFonts w:ascii="Times New Roman" w:hAnsi="Times New Roman" w:cs="Times New Roman"/>
          <w:sz w:val="24"/>
          <w:szCs w:val="24"/>
        </w:rPr>
        <w:t xml:space="preserve"> sono i macchinari (</w:t>
      </w:r>
      <w:r w:rsidR="009D2539" w:rsidRPr="003A0CEF">
        <w:rPr>
          <w:rFonts w:ascii="Times New Roman" w:hAnsi="Times New Roman" w:cs="Times New Roman"/>
          <w:sz w:val="24"/>
          <w:szCs w:val="24"/>
        </w:rPr>
        <w:t>25</w:t>
      </w:r>
      <w:r w:rsidR="00615C00" w:rsidRPr="003A0CEF">
        <w:rPr>
          <w:rFonts w:ascii="Times New Roman" w:hAnsi="Times New Roman" w:cs="Times New Roman"/>
          <w:sz w:val="24"/>
          <w:szCs w:val="24"/>
        </w:rPr>
        <w:t>% dell’export totale), le sostanze chimiche (</w:t>
      </w:r>
      <w:r w:rsidR="009D2539" w:rsidRPr="003A0CEF">
        <w:rPr>
          <w:rFonts w:ascii="Times New Roman" w:hAnsi="Times New Roman" w:cs="Times New Roman"/>
          <w:sz w:val="24"/>
          <w:szCs w:val="24"/>
        </w:rPr>
        <w:t>18,7</w:t>
      </w:r>
      <w:r w:rsidR="00615C00" w:rsidRPr="003A0CEF">
        <w:rPr>
          <w:rFonts w:ascii="Times New Roman" w:hAnsi="Times New Roman" w:cs="Times New Roman"/>
          <w:sz w:val="24"/>
          <w:szCs w:val="24"/>
        </w:rPr>
        <w:t>%) e i metalli (1</w:t>
      </w:r>
      <w:r w:rsidR="009D2539" w:rsidRPr="003A0CEF">
        <w:rPr>
          <w:rFonts w:ascii="Times New Roman" w:hAnsi="Times New Roman" w:cs="Times New Roman"/>
          <w:sz w:val="24"/>
          <w:szCs w:val="24"/>
        </w:rPr>
        <w:t>3</w:t>
      </w:r>
      <w:r w:rsidR="00615C00" w:rsidRPr="003A0CEF">
        <w:rPr>
          <w:rFonts w:ascii="Times New Roman" w:hAnsi="Times New Roman" w:cs="Times New Roman"/>
          <w:sz w:val="24"/>
          <w:szCs w:val="24"/>
        </w:rPr>
        <w:t xml:space="preserve">,5%) mentre i più importati sono i prodotti </w:t>
      </w:r>
      <w:r w:rsidR="009D2539" w:rsidRPr="003A0CEF">
        <w:rPr>
          <w:rFonts w:ascii="Times New Roman" w:hAnsi="Times New Roman" w:cs="Times New Roman"/>
          <w:sz w:val="24"/>
          <w:szCs w:val="24"/>
        </w:rPr>
        <w:t>tessili</w:t>
      </w:r>
      <w:r w:rsidR="00615C00" w:rsidRPr="003A0CEF">
        <w:rPr>
          <w:rFonts w:ascii="Times New Roman" w:hAnsi="Times New Roman" w:cs="Times New Roman"/>
          <w:sz w:val="24"/>
          <w:szCs w:val="24"/>
        </w:rPr>
        <w:t xml:space="preserve"> (2</w:t>
      </w:r>
      <w:r w:rsidR="009D2539" w:rsidRPr="003A0CEF">
        <w:rPr>
          <w:rFonts w:ascii="Times New Roman" w:hAnsi="Times New Roman" w:cs="Times New Roman"/>
          <w:sz w:val="24"/>
          <w:szCs w:val="24"/>
        </w:rPr>
        <w:t>2</w:t>
      </w:r>
      <w:r w:rsidR="00615C00" w:rsidRPr="003A0CEF">
        <w:rPr>
          <w:rFonts w:ascii="Times New Roman" w:hAnsi="Times New Roman" w:cs="Times New Roman"/>
          <w:sz w:val="24"/>
          <w:szCs w:val="24"/>
        </w:rPr>
        <w:t>,</w:t>
      </w:r>
      <w:r w:rsidR="009D2539" w:rsidRPr="003A0CEF">
        <w:rPr>
          <w:rFonts w:ascii="Times New Roman" w:hAnsi="Times New Roman" w:cs="Times New Roman"/>
          <w:sz w:val="24"/>
          <w:szCs w:val="24"/>
        </w:rPr>
        <w:t xml:space="preserve">2%) </w:t>
      </w:r>
      <w:r w:rsidR="00615C00" w:rsidRPr="003A0CEF">
        <w:rPr>
          <w:rFonts w:ascii="Times New Roman" w:hAnsi="Times New Roman" w:cs="Times New Roman"/>
          <w:sz w:val="24"/>
          <w:szCs w:val="24"/>
        </w:rPr>
        <w:t xml:space="preserve">e </w:t>
      </w:r>
      <w:r w:rsidR="009D2539" w:rsidRPr="003A0CEF">
        <w:rPr>
          <w:rFonts w:ascii="Times New Roman" w:hAnsi="Times New Roman" w:cs="Times New Roman"/>
          <w:sz w:val="24"/>
          <w:szCs w:val="24"/>
        </w:rPr>
        <w:t xml:space="preserve">i mezzi di trasporto </w:t>
      </w:r>
      <w:r w:rsidR="00615C00" w:rsidRPr="003A0CEF">
        <w:rPr>
          <w:rFonts w:ascii="Times New Roman" w:hAnsi="Times New Roman" w:cs="Times New Roman"/>
          <w:sz w:val="24"/>
          <w:szCs w:val="24"/>
        </w:rPr>
        <w:t>(1</w:t>
      </w:r>
      <w:r w:rsidR="009D2539" w:rsidRPr="003A0CEF">
        <w:rPr>
          <w:rFonts w:ascii="Times New Roman" w:hAnsi="Times New Roman" w:cs="Times New Roman"/>
          <w:sz w:val="24"/>
          <w:szCs w:val="24"/>
        </w:rPr>
        <w:t>9</w:t>
      </w:r>
      <w:r w:rsidR="00615C00" w:rsidRPr="003A0CEF">
        <w:rPr>
          <w:rFonts w:ascii="Times New Roman" w:hAnsi="Times New Roman" w:cs="Times New Roman"/>
          <w:sz w:val="24"/>
          <w:szCs w:val="24"/>
        </w:rPr>
        <w:t xml:space="preserve">,4%). </w:t>
      </w:r>
      <w:r w:rsidR="002D5B24" w:rsidRPr="003A0CEF">
        <w:rPr>
          <w:rFonts w:ascii="Times New Roman" w:hAnsi="Times New Roman" w:cs="Times New Roman"/>
          <w:sz w:val="24"/>
          <w:szCs w:val="24"/>
        </w:rPr>
        <w:t xml:space="preserve">Emerge da un’elaborazione </w:t>
      </w:r>
      <w:r w:rsidR="00D408D8" w:rsidRPr="003A0CEF">
        <w:rPr>
          <w:rFonts w:ascii="Times New Roman" w:hAnsi="Times New Roman" w:cs="Times New Roman"/>
          <w:sz w:val="24"/>
          <w:szCs w:val="24"/>
        </w:rPr>
        <w:t xml:space="preserve">della </w:t>
      </w:r>
      <w:r w:rsidR="002D5B24" w:rsidRPr="003A0CEF">
        <w:rPr>
          <w:rFonts w:ascii="Times New Roman" w:hAnsi="Times New Roman" w:cs="Times New Roman"/>
          <w:sz w:val="24"/>
          <w:szCs w:val="24"/>
        </w:rPr>
        <w:t>Camera di commercio di Milano su dati Istat</w:t>
      </w:r>
      <w:r w:rsidR="00FF1323">
        <w:rPr>
          <w:rFonts w:ascii="Times New Roman" w:hAnsi="Times New Roman" w:cs="Times New Roman"/>
          <w:sz w:val="24"/>
          <w:szCs w:val="24"/>
        </w:rPr>
        <w:t>, anni 2015 e 2014 e primi tre mesi del 2016</w:t>
      </w:r>
      <w:r w:rsidR="00FA0B6E" w:rsidRPr="003A0CEF">
        <w:rPr>
          <w:rFonts w:ascii="Times New Roman" w:hAnsi="Times New Roman" w:cs="Times New Roman"/>
          <w:sz w:val="24"/>
          <w:szCs w:val="24"/>
        </w:rPr>
        <w:t>.</w:t>
      </w:r>
    </w:p>
    <w:p w:rsidR="00FC2E0B" w:rsidRPr="00FC2E0B" w:rsidRDefault="005F2DB7" w:rsidP="00FC2E0B">
      <w:p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Iniziativ</w:t>
      </w:r>
      <w:r w:rsidR="00A425A6">
        <w:rPr>
          <w:rFonts w:ascii="Times New Roman" w:hAnsi="Times New Roman" w:cs="Times New Roman"/>
          <w:b/>
          <w:sz w:val="24"/>
          <w:szCs w:val="24"/>
        </w:rPr>
        <w:t xml:space="preserve">e per le imprese lombarde </w:t>
      </w:r>
      <w:r w:rsidR="00500C54">
        <w:rPr>
          <w:rFonts w:ascii="Times New Roman" w:hAnsi="Times New Roman" w:cs="Times New Roman"/>
          <w:b/>
          <w:sz w:val="24"/>
          <w:szCs w:val="24"/>
        </w:rPr>
        <w:t xml:space="preserve">in Turchia </w:t>
      </w:r>
      <w:r w:rsidR="00A425A6">
        <w:rPr>
          <w:rFonts w:ascii="Times New Roman" w:hAnsi="Times New Roman" w:cs="Times New Roman"/>
          <w:b/>
          <w:sz w:val="24"/>
          <w:szCs w:val="24"/>
        </w:rPr>
        <w:t>svolte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A425A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Promos</w:t>
      </w:r>
      <w:proofErr w:type="spellEnd"/>
      <w:r w:rsidR="00FC2E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2E0B" w:rsidRPr="00FC2E0B">
        <w:rPr>
          <w:rFonts w:ascii="Times New Roman" w:hAnsi="Times New Roman" w:cs="Times New Roman"/>
          <w:sz w:val="24"/>
          <w:szCs w:val="24"/>
        </w:rPr>
        <w:t>Promos</w:t>
      </w:r>
      <w:proofErr w:type="spellEnd"/>
      <w:r w:rsidR="009D60F2">
        <w:rPr>
          <w:rFonts w:ascii="Times New Roman" w:hAnsi="Times New Roman" w:cs="Times New Roman"/>
          <w:sz w:val="24"/>
          <w:szCs w:val="24"/>
        </w:rPr>
        <w:t>, a</w:t>
      </w:r>
      <w:r w:rsidR="00FC2E0B">
        <w:rPr>
          <w:rFonts w:ascii="Times New Roman" w:hAnsi="Times New Roman" w:cs="Times New Roman"/>
          <w:sz w:val="24"/>
          <w:szCs w:val="24"/>
        </w:rPr>
        <w:t xml:space="preserve">zienda </w:t>
      </w:r>
      <w:r w:rsidR="009D60F2">
        <w:rPr>
          <w:rFonts w:ascii="Times New Roman" w:hAnsi="Times New Roman" w:cs="Times New Roman"/>
          <w:sz w:val="24"/>
          <w:szCs w:val="24"/>
        </w:rPr>
        <w:t>s</w:t>
      </w:r>
      <w:r w:rsidR="00FC2E0B">
        <w:rPr>
          <w:rFonts w:ascii="Times New Roman" w:hAnsi="Times New Roman" w:cs="Times New Roman"/>
          <w:sz w:val="24"/>
          <w:szCs w:val="24"/>
        </w:rPr>
        <w:t xml:space="preserve">peciale per le Attività Internazionali della Camera di commercio di Milano, </w:t>
      </w:r>
      <w:r w:rsidR="00A425A6">
        <w:rPr>
          <w:rFonts w:ascii="Times New Roman" w:hAnsi="Times New Roman" w:cs="Times New Roman"/>
          <w:sz w:val="24"/>
          <w:szCs w:val="24"/>
        </w:rPr>
        <w:t xml:space="preserve">negli ultimi anni ha realizzato 12 iniziative in Turchia con una cinquantina di imprese coinvolte e, se le condizioni lo permetteranno, </w:t>
      </w:r>
      <w:r w:rsidR="00AA5883">
        <w:rPr>
          <w:rFonts w:ascii="Times New Roman" w:hAnsi="Times New Roman" w:cs="Times New Roman"/>
          <w:sz w:val="24"/>
          <w:szCs w:val="24"/>
        </w:rPr>
        <w:t>ha in programma</w:t>
      </w:r>
      <w:r w:rsidR="00A425A6">
        <w:rPr>
          <w:rFonts w:ascii="Times New Roman" w:hAnsi="Times New Roman" w:cs="Times New Roman"/>
          <w:sz w:val="24"/>
          <w:szCs w:val="24"/>
        </w:rPr>
        <w:t>,</w:t>
      </w:r>
      <w:r w:rsidR="00FC2E0B">
        <w:rPr>
          <w:rFonts w:ascii="Times New Roman" w:hAnsi="Times New Roman" w:cs="Times New Roman"/>
          <w:sz w:val="24"/>
          <w:szCs w:val="24"/>
        </w:rPr>
        <w:t xml:space="preserve"> per la seconda metà del 2016</w:t>
      </w:r>
      <w:r w:rsidR="00A425A6">
        <w:rPr>
          <w:rFonts w:ascii="Times New Roman" w:hAnsi="Times New Roman" w:cs="Times New Roman"/>
          <w:sz w:val="24"/>
          <w:szCs w:val="24"/>
        </w:rPr>
        <w:t>,</w:t>
      </w:r>
      <w:r w:rsidR="00FC2E0B">
        <w:rPr>
          <w:rFonts w:ascii="Times New Roman" w:hAnsi="Times New Roman" w:cs="Times New Roman"/>
          <w:sz w:val="24"/>
          <w:szCs w:val="24"/>
        </w:rPr>
        <w:t xml:space="preserve"> </w:t>
      </w:r>
      <w:r w:rsidR="00A425A6">
        <w:rPr>
          <w:rFonts w:ascii="Times New Roman" w:hAnsi="Times New Roman" w:cs="Times New Roman"/>
          <w:sz w:val="24"/>
          <w:szCs w:val="24"/>
        </w:rPr>
        <w:t xml:space="preserve">di sviluppare </w:t>
      </w:r>
      <w:r w:rsidR="00FC2E0B">
        <w:rPr>
          <w:rFonts w:ascii="Times New Roman" w:hAnsi="Times New Roman" w:cs="Times New Roman"/>
          <w:sz w:val="24"/>
          <w:szCs w:val="24"/>
        </w:rPr>
        <w:t xml:space="preserve">un progetto di </w:t>
      </w:r>
      <w:r w:rsidR="00FC2E0B" w:rsidRPr="00FC2E0B">
        <w:rPr>
          <w:rFonts w:ascii="Times New Roman" w:hAnsi="Times New Roman" w:cs="Times New Roman"/>
          <w:sz w:val="24"/>
          <w:szCs w:val="24"/>
        </w:rPr>
        <w:t>internazionalizzazione</w:t>
      </w:r>
      <w:r w:rsidR="00FC2E0B">
        <w:rPr>
          <w:rFonts w:ascii="Times New Roman" w:hAnsi="Times New Roman" w:cs="Times New Roman"/>
          <w:sz w:val="24"/>
          <w:szCs w:val="24"/>
        </w:rPr>
        <w:t xml:space="preserve">. </w:t>
      </w:r>
      <w:r w:rsidR="00FC2E0B" w:rsidRPr="00FC2E0B">
        <w:rPr>
          <w:rFonts w:ascii="Times New Roman" w:hAnsi="Times New Roman" w:cs="Times New Roman"/>
          <w:sz w:val="24"/>
          <w:szCs w:val="24"/>
        </w:rPr>
        <w:t>L'iniziativa</w:t>
      </w:r>
      <w:r w:rsidR="00FC2E0B">
        <w:rPr>
          <w:rFonts w:ascii="Times New Roman" w:hAnsi="Times New Roman" w:cs="Times New Roman"/>
          <w:sz w:val="24"/>
          <w:szCs w:val="24"/>
        </w:rPr>
        <w:t>,</w:t>
      </w:r>
      <w:r w:rsidR="00FC2E0B" w:rsidRPr="00FC2E0B">
        <w:rPr>
          <w:rFonts w:ascii="Times New Roman" w:hAnsi="Times New Roman" w:cs="Times New Roman"/>
          <w:sz w:val="24"/>
          <w:szCs w:val="24"/>
        </w:rPr>
        <w:t xml:space="preserve"> finalizzata allo sviluppo commerciale </w:t>
      </w:r>
      <w:r w:rsidR="00FC2E0B">
        <w:rPr>
          <w:rFonts w:ascii="Times New Roman" w:hAnsi="Times New Roman" w:cs="Times New Roman"/>
          <w:sz w:val="24"/>
          <w:szCs w:val="24"/>
        </w:rPr>
        <w:t>nel paese di aziende dei settori</w:t>
      </w:r>
      <w:r w:rsidR="00FC2E0B" w:rsidRPr="00FC2E0B">
        <w:rPr>
          <w:rFonts w:ascii="Times New Roman" w:hAnsi="Times New Roman" w:cs="Times New Roman"/>
          <w:sz w:val="24"/>
          <w:szCs w:val="24"/>
        </w:rPr>
        <w:t xml:space="preserve"> energia ed elettrotecnica, macchinari </w:t>
      </w:r>
      <w:r w:rsidR="00FC2E0B">
        <w:rPr>
          <w:rFonts w:ascii="Times New Roman" w:hAnsi="Times New Roman" w:cs="Times New Roman"/>
          <w:sz w:val="24"/>
          <w:szCs w:val="24"/>
        </w:rPr>
        <w:t xml:space="preserve">e componentistica industriale, </w:t>
      </w:r>
      <w:r w:rsidR="00FC2E0B" w:rsidRPr="00FC2E0B">
        <w:rPr>
          <w:rFonts w:ascii="Times New Roman" w:hAnsi="Times New Roman" w:cs="Times New Roman"/>
          <w:sz w:val="24"/>
          <w:szCs w:val="24"/>
        </w:rPr>
        <w:t xml:space="preserve">comparto medico/ospedaliero, sicurezza e controllo, servizi alle </w:t>
      </w:r>
      <w:r w:rsidR="00FC2E0B">
        <w:rPr>
          <w:rFonts w:ascii="Times New Roman" w:hAnsi="Times New Roman" w:cs="Times New Roman"/>
          <w:sz w:val="24"/>
          <w:szCs w:val="24"/>
        </w:rPr>
        <w:t>imprese e tecnologie applicate, prevede il s</w:t>
      </w:r>
      <w:r w:rsidR="00FC2E0B" w:rsidRPr="00FC2E0B">
        <w:rPr>
          <w:rFonts w:ascii="Times New Roman" w:hAnsi="Times New Roman" w:cs="Times New Roman"/>
          <w:sz w:val="24"/>
          <w:szCs w:val="24"/>
        </w:rPr>
        <w:t xml:space="preserve">upporto nella </w:t>
      </w:r>
      <w:r w:rsidR="00FC2E0B">
        <w:rPr>
          <w:rFonts w:ascii="Times New Roman" w:hAnsi="Times New Roman" w:cs="Times New Roman"/>
          <w:sz w:val="24"/>
          <w:szCs w:val="24"/>
        </w:rPr>
        <w:t>pianificazione della strategia commerciale, l’o</w:t>
      </w:r>
      <w:r w:rsidR="00FC2E0B" w:rsidRPr="00FC2E0B">
        <w:rPr>
          <w:rFonts w:ascii="Times New Roman" w:hAnsi="Times New Roman" w:cs="Times New Roman"/>
          <w:sz w:val="24"/>
          <w:szCs w:val="24"/>
        </w:rPr>
        <w:t xml:space="preserve">rganizzazione </w:t>
      </w:r>
      <w:r w:rsidR="00FC2E0B">
        <w:rPr>
          <w:rFonts w:ascii="Times New Roman" w:hAnsi="Times New Roman" w:cs="Times New Roman"/>
          <w:sz w:val="24"/>
          <w:szCs w:val="24"/>
        </w:rPr>
        <w:t>di una missione imprenditoriale in Turchia, l’attivazione di u</w:t>
      </w:r>
      <w:r w:rsidR="00FC2E0B" w:rsidRPr="00FC2E0B">
        <w:rPr>
          <w:rFonts w:ascii="Times New Roman" w:hAnsi="Times New Roman" w:cs="Times New Roman"/>
          <w:sz w:val="24"/>
          <w:szCs w:val="24"/>
        </w:rPr>
        <w:t xml:space="preserve">n presidio commerciale in </w:t>
      </w:r>
      <w:r w:rsidR="00FC2E0B">
        <w:rPr>
          <w:rFonts w:ascii="Times New Roman" w:hAnsi="Times New Roman" w:cs="Times New Roman"/>
          <w:sz w:val="24"/>
          <w:szCs w:val="24"/>
        </w:rPr>
        <w:t xml:space="preserve">loco e un’attività di </w:t>
      </w:r>
      <w:proofErr w:type="spellStart"/>
      <w:r w:rsidR="00FC2E0B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FC2E0B">
        <w:rPr>
          <w:rFonts w:ascii="Times New Roman" w:hAnsi="Times New Roman" w:cs="Times New Roman"/>
          <w:sz w:val="24"/>
          <w:szCs w:val="24"/>
        </w:rPr>
        <w:t xml:space="preserve"> up sui contatti sviluppati durante la</w:t>
      </w:r>
      <w:r w:rsidR="00FC2E0B" w:rsidRPr="00FC2E0B">
        <w:rPr>
          <w:rFonts w:ascii="Times New Roman" w:hAnsi="Times New Roman" w:cs="Times New Roman"/>
          <w:sz w:val="24"/>
          <w:szCs w:val="24"/>
        </w:rPr>
        <w:t xml:space="preserve"> missione</w:t>
      </w:r>
      <w:r w:rsidR="00FC2E0B">
        <w:rPr>
          <w:rFonts w:ascii="Times New Roman" w:hAnsi="Times New Roman" w:cs="Times New Roman"/>
          <w:sz w:val="24"/>
          <w:szCs w:val="24"/>
        </w:rPr>
        <w:t>.</w:t>
      </w:r>
    </w:p>
    <w:p w:rsidR="00EC72F4" w:rsidRPr="003A0CEF" w:rsidRDefault="00EC72F4" w:rsidP="00FA0B6E">
      <w:pPr>
        <w:spacing w:after="0" w:line="240" w:lineRule="auto"/>
        <w:ind w:left="-425" w:right="-284"/>
        <w:jc w:val="both"/>
        <w:rPr>
          <w:rFonts w:ascii="Times New Roman" w:hAnsi="Times New Roman" w:cs="Times New Roman"/>
          <w:sz w:val="24"/>
          <w:szCs w:val="24"/>
        </w:rPr>
      </w:pPr>
      <w:r w:rsidRPr="003A0CEF">
        <w:rPr>
          <w:rFonts w:ascii="Times New Roman" w:hAnsi="Times New Roman" w:cs="Times New Roman"/>
          <w:b/>
          <w:sz w:val="24"/>
          <w:szCs w:val="24"/>
        </w:rPr>
        <w:t>Le specializzazioni per provincia.</w:t>
      </w:r>
      <w:r w:rsidRPr="003A0CEF">
        <w:rPr>
          <w:rFonts w:ascii="Times New Roman" w:hAnsi="Times New Roman" w:cs="Times New Roman"/>
          <w:sz w:val="24"/>
          <w:szCs w:val="24"/>
        </w:rPr>
        <w:t xml:space="preserve"> Nell’export in Turchia, macchinari da Varese, Sondrio, Bergamo, Brescia, Pavia, sostanze chimiche da Milano, Lodi e Monza e Brianza, tessili da Como, articoli in gomma e plastica da Cremona, mezzi di trasporto da Mantova e metalli da Lecco. Nell’import dalla Turchia, </w:t>
      </w:r>
      <w:r w:rsidR="003A0CEF" w:rsidRPr="003A0CEF">
        <w:rPr>
          <w:rFonts w:ascii="Times New Roman" w:hAnsi="Times New Roman" w:cs="Times New Roman"/>
          <w:sz w:val="24"/>
          <w:szCs w:val="24"/>
        </w:rPr>
        <w:t xml:space="preserve">prodotti tessili a Varese, Como, Bergamo, Pavia, Cremona e Lodi, chimici a Sondrio, mezzi di trasporto a Milano, metalli a Brescia, Mantova e Lecco, apparecchi elettrici a Monza e Brianza. </w:t>
      </w:r>
    </w:p>
    <w:p w:rsidR="00826E41" w:rsidRDefault="00826E41" w:rsidP="000B14CA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b/>
          <w:sz w:val="10"/>
          <w:szCs w:val="10"/>
          <w:highlight w:val="yellow"/>
        </w:rPr>
      </w:pPr>
    </w:p>
    <w:p w:rsidR="00ED4270" w:rsidRDefault="00ED4270" w:rsidP="00ED4270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4CC">
        <w:rPr>
          <w:rFonts w:ascii="Times New Roman" w:hAnsi="Times New Roman" w:cs="Times New Roman"/>
          <w:b/>
          <w:sz w:val="20"/>
          <w:szCs w:val="20"/>
        </w:rPr>
        <w:t xml:space="preserve">Interscambio della Lombardia con </w:t>
      </w:r>
      <w:r w:rsidR="009A545A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="000C775E">
        <w:rPr>
          <w:rFonts w:ascii="Times New Roman" w:hAnsi="Times New Roman" w:cs="Times New Roman"/>
          <w:b/>
          <w:sz w:val="20"/>
          <w:szCs w:val="20"/>
        </w:rPr>
        <w:t>Turchia</w:t>
      </w:r>
      <w:r w:rsidR="00025D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4CC">
        <w:rPr>
          <w:rFonts w:ascii="Times New Roman" w:hAnsi="Times New Roman" w:cs="Times New Roman"/>
          <w:b/>
          <w:sz w:val="20"/>
          <w:szCs w:val="20"/>
        </w:rPr>
        <w:t xml:space="preserve">per provincia </w:t>
      </w:r>
      <w:r w:rsidR="00025D94">
        <w:rPr>
          <w:rFonts w:ascii="Times New Roman" w:hAnsi="Times New Roman" w:cs="Times New Roman"/>
          <w:b/>
          <w:sz w:val="20"/>
          <w:szCs w:val="20"/>
        </w:rPr>
        <w:t>nel</w:t>
      </w:r>
      <w:r w:rsidR="00763FFD">
        <w:rPr>
          <w:rFonts w:ascii="Times New Roman" w:hAnsi="Times New Roman" w:cs="Times New Roman"/>
          <w:b/>
          <w:sz w:val="20"/>
          <w:szCs w:val="20"/>
        </w:rPr>
        <w:t xml:space="preserve"> 2015</w:t>
      </w: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945"/>
        <w:gridCol w:w="945"/>
        <w:gridCol w:w="945"/>
        <w:gridCol w:w="1015"/>
        <w:gridCol w:w="553"/>
        <w:gridCol w:w="549"/>
        <w:gridCol w:w="572"/>
        <w:gridCol w:w="572"/>
        <w:gridCol w:w="1015"/>
        <w:gridCol w:w="1015"/>
        <w:gridCol w:w="549"/>
        <w:gridCol w:w="572"/>
      </w:tblGrid>
      <w:tr w:rsidR="000C775E" w:rsidRPr="000C775E" w:rsidTr="000C775E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TERRITORIO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. 2014-2015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su tot. 2015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Tot. interscambio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Tot. interscambio 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. %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% su tot. 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2014-2015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Varese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85.717.774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239.825.502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81.795.094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273.676.639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14,1%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10,3%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325.543.276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355.471.733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9,2%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8,2%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Como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74.484.746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127.473.656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64.553.511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136.119.196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201.958.402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200.672.707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-0,6%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4,6%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Sondrio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4.467.715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7.689.113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1.532.596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9.258.054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-65,7%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20,4%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12.156.828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10.790.650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-11,2%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822.307.666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1.171.887.138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978.926.289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1.028.106.126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-12,3%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57,7%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38,6%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1.994.194.804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2.007.032.415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46,0%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128.192.593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276.299.468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146.116.543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279.655.776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8,6%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10,5%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404.492.061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425.772.319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5,3%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9,8%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154.095.683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336.612.918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165.686.460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322.958.631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-4,1%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12,1%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490.708.601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488.645.091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-0,4%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11,2%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Pavia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19.903.176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67.112.114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14.366.257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70.556.880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-27,8%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2,7%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87.015.290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84.923.137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-2,4%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Cremona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20.265.746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95.729.936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21.691.618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85.046.064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-11,2%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1,3%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3,2%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115.995.682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106.737.682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-8,0%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Mantova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110.565.669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144.700.507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115.345.726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189.344.432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30,9%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7,1%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255.266.176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304.690.158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19,4%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7,0%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Lecco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29.911.183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63.305.238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34.503.700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64.878.853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2,5%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2,0%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93.216.421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99.382.553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6,6%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2,3%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8.991.884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16.054.108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7.557.200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20.941.760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-16,0%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30,4%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0,4%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25.045.992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28.498.960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0,7%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Monza e  Brianza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51.193.493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139.205.942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64.822.366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181.672.646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30,5%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6,8%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190.399.435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246.495.012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29,5%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5,7%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1.510.097.328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2.685.895.640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1.696.897.360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2.662.215.057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4.195.992.968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4.359.112.417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EA18C6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EA1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3,9%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</w:tr>
      <w:tr w:rsidR="000C775E" w:rsidRPr="000C775E" w:rsidTr="000C775E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5.717.588.094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9.733.964.631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6.620.625.673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10.005.314.539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25,6%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26,6%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15.451.552.725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16.625.940.212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7,6%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586431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5864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26,2%</w:t>
            </w:r>
          </w:p>
        </w:tc>
      </w:tr>
    </w:tbl>
    <w:p w:rsidR="009A545A" w:rsidRDefault="00ED4270" w:rsidP="003C514C">
      <w:pPr>
        <w:pStyle w:val="Nessunaspaziatura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>laborazion</w:t>
      </w: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 xml:space="preserve"> Camera di c</w:t>
      </w:r>
      <w:r>
        <w:rPr>
          <w:rFonts w:ascii="Times New Roman" w:hAnsi="Times New Roman" w:cs="Times New Roman"/>
          <w:i/>
          <w:sz w:val="20"/>
        </w:rPr>
        <w:t>ommercio di Milano su dati Istat</w:t>
      </w:r>
      <w:r w:rsidR="00763FFD">
        <w:rPr>
          <w:rFonts w:ascii="Times New Roman" w:hAnsi="Times New Roman" w:cs="Times New Roman"/>
          <w:i/>
          <w:sz w:val="20"/>
        </w:rPr>
        <w:t xml:space="preserve"> </w:t>
      </w:r>
      <w:r w:rsidR="00025D94">
        <w:rPr>
          <w:rFonts w:ascii="Times New Roman" w:hAnsi="Times New Roman" w:cs="Times New Roman"/>
          <w:i/>
          <w:sz w:val="20"/>
        </w:rPr>
        <w:t>anni</w:t>
      </w:r>
      <w:r w:rsidR="00763FFD">
        <w:rPr>
          <w:rFonts w:ascii="Times New Roman" w:hAnsi="Times New Roman" w:cs="Times New Roman"/>
          <w:i/>
          <w:sz w:val="20"/>
        </w:rPr>
        <w:t xml:space="preserve"> 2015 e 2014. Valori </w:t>
      </w:r>
      <w:r w:rsidR="00025D94">
        <w:rPr>
          <w:rFonts w:ascii="Times New Roman" w:hAnsi="Times New Roman" w:cs="Times New Roman"/>
          <w:i/>
          <w:sz w:val="20"/>
        </w:rPr>
        <w:t xml:space="preserve">cumulati </w:t>
      </w:r>
      <w:r w:rsidR="00763FFD">
        <w:rPr>
          <w:rFonts w:ascii="Times New Roman" w:hAnsi="Times New Roman" w:cs="Times New Roman"/>
          <w:i/>
          <w:sz w:val="20"/>
        </w:rPr>
        <w:t>in euro</w:t>
      </w:r>
    </w:p>
    <w:p w:rsidR="00A425A6" w:rsidRDefault="00A425A6">
      <w:pPr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10"/>
          <w:szCs w:val="10"/>
        </w:rPr>
        <w:br w:type="page"/>
      </w:r>
    </w:p>
    <w:p w:rsidR="009A545A" w:rsidRPr="00FF1323" w:rsidRDefault="009A545A" w:rsidP="003C514C">
      <w:pPr>
        <w:pStyle w:val="Nessunaspaziatura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D66C79" w:rsidRDefault="00D66C79" w:rsidP="00D66C79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4CC">
        <w:rPr>
          <w:rFonts w:ascii="Times New Roman" w:hAnsi="Times New Roman" w:cs="Times New Roman"/>
          <w:b/>
          <w:sz w:val="20"/>
          <w:szCs w:val="20"/>
        </w:rPr>
        <w:t xml:space="preserve">Interscambio della Lombardia con </w:t>
      </w:r>
      <w:r>
        <w:rPr>
          <w:rFonts w:ascii="Times New Roman" w:hAnsi="Times New Roman" w:cs="Times New Roman"/>
          <w:b/>
          <w:sz w:val="20"/>
          <w:szCs w:val="20"/>
        </w:rPr>
        <w:t xml:space="preserve">la Turchia </w:t>
      </w:r>
      <w:r w:rsidRPr="00BC14CC">
        <w:rPr>
          <w:rFonts w:ascii="Times New Roman" w:hAnsi="Times New Roman" w:cs="Times New Roman"/>
          <w:b/>
          <w:sz w:val="20"/>
          <w:szCs w:val="20"/>
        </w:rPr>
        <w:t xml:space="preserve">per provincia </w:t>
      </w:r>
      <w:r>
        <w:rPr>
          <w:rFonts w:ascii="Times New Roman" w:hAnsi="Times New Roman" w:cs="Times New Roman"/>
          <w:b/>
          <w:sz w:val="20"/>
          <w:szCs w:val="20"/>
        </w:rPr>
        <w:t>nei primi tre mesi del 2016</w:t>
      </w:r>
    </w:p>
    <w:tbl>
      <w:tblPr>
        <w:tblW w:w="51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945"/>
        <w:gridCol w:w="945"/>
        <w:gridCol w:w="945"/>
        <w:gridCol w:w="945"/>
        <w:gridCol w:w="572"/>
        <w:gridCol w:w="572"/>
        <w:gridCol w:w="572"/>
        <w:gridCol w:w="572"/>
        <w:gridCol w:w="945"/>
        <w:gridCol w:w="945"/>
        <w:gridCol w:w="572"/>
        <w:gridCol w:w="572"/>
      </w:tblGrid>
      <w:tr w:rsidR="00D66C79" w:rsidRPr="003B086C" w:rsidTr="009D60F2">
        <w:trPr>
          <w:trHeight w:val="20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TERRITORIO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 I trim.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2016 I trim.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. 2015-2016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su tot. 2016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Tot. interscambio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Tot. interscambio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. %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% su tot. 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2015-2016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2016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Varese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22.423.584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63.956.952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20.121.072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48.920.999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-23,5%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7,8%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86.380.536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69.042.071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6,3%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Como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17.925.950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35.366.576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12.779.409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29.261.590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-28,7%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-17,3%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4,6%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53.292.526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42.040.999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-21,1%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3,8%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Sondrio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466.444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1.227.224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359.335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3.441.706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-23,0%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180,4%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1.693.668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3.801.041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124,4%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0,3%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Milano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237.797.424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243.396.068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274.956.781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242.116.665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38,4%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481.193.492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517.073.446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47,3%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Bergamo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34.374.633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66.349.389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37.417.109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82.266.738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24,0%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13,1%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100.724.022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119.683.847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18,8%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11,0%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Brescia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35.878.646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94.132.465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45.171.446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57.448.282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25,9%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-39,0%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9,1%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130.011.111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102.619.728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-21,1%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9,4%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Pavia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3.447.991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17.977.096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5.694.382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15.230.031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21.425.087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20.924.413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-2,3%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Cremona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6.128.411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22.923.213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6.594.577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20.709.458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-9,7%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3,3%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29.051.624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27.304.035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2,5%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Mantova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18.219.592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47.106.596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22.516.962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51.148.558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4,9%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8,1%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65.326.188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73.665.520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6,7%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Lecco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6.857.145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14.269.583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16.282.272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15.296.035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137,4%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7,2%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2,4%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21.126.728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31.578.307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2,9%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Lodi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1.206.607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5.708.458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2.824.330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5.756.113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134,1%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6.915.065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8.580.443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Monza e  Brianza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14.549.179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47.882.993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17.910.528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58.713.098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9,3%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62.432.172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76.623.626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22,7%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7,0%</w:t>
            </w:r>
          </w:p>
        </w:tc>
      </w:tr>
      <w:tr w:rsidR="00D66C79" w:rsidRPr="003B086C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Lombardia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399.275.606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660.296.613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462.628.203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630.309.273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15,9%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-4,5%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1.059.572.219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FF1323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FF13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1.092.937.476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FF1323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FF132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3,1%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</w:tr>
      <w:tr w:rsidR="00D66C79" w:rsidRPr="00EA18C6" w:rsidTr="009D60F2">
        <w:trPr>
          <w:trHeight w:val="2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C79" w:rsidRPr="003B086C" w:rsidRDefault="00D66C79" w:rsidP="009D6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1.639.411.624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2.357.535.010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1.780.268.780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2.221.992.749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-5,7%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26,0%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28,4%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3.996.946.634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4.002.261.529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3B086C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3B086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C79" w:rsidRPr="00EA18C6" w:rsidRDefault="00D66C79" w:rsidP="009D6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EA1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27,3%</w:t>
            </w:r>
          </w:p>
        </w:tc>
      </w:tr>
    </w:tbl>
    <w:p w:rsidR="00D66C79" w:rsidRDefault="00D66C79" w:rsidP="00D66C79">
      <w:pPr>
        <w:pStyle w:val="Nessunaspaziatura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>laborazion</w:t>
      </w: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 xml:space="preserve"> Camera di c</w:t>
      </w:r>
      <w:r>
        <w:rPr>
          <w:rFonts w:ascii="Times New Roman" w:hAnsi="Times New Roman" w:cs="Times New Roman"/>
          <w:i/>
          <w:sz w:val="20"/>
        </w:rPr>
        <w:t>ommercio di Milano su dati Istat I trim. 2016 e 2015. Valori cumulati in euro</w:t>
      </w:r>
    </w:p>
    <w:p w:rsidR="007D6046" w:rsidRDefault="007D6046" w:rsidP="003C514C">
      <w:pPr>
        <w:pStyle w:val="Nessunaspaziatura"/>
        <w:jc w:val="center"/>
        <w:rPr>
          <w:rFonts w:ascii="Times New Roman" w:hAnsi="Times New Roman" w:cs="Times New Roman"/>
          <w:i/>
          <w:sz w:val="20"/>
        </w:rPr>
      </w:pPr>
    </w:p>
    <w:p w:rsidR="00025D94" w:rsidRDefault="00025D94" w:rsidP="00025D94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14CC">
        <w:rPr>
          <w:rFonts w:ascii="Times New Roman" w:hAnsi="Times New Roman" w:cs="Times New Roman"/>
          <w:b/>
          <w:sz w:val="20"/>
          <w:szCs w:val="20"/>
        </w:rPr>
        <w:t xml:space="preserve">Interscambio della Lombardia con </w:t>
      </w:r>
      <w:r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="000C775E">
        <w:rPr>
          <w:rFonts w:ascii="Times New Roman" w:hAnsi="Times New Roman" w:cs="Times New Roman"/>
          <w:b/>
          <w:sz w:val="20"/>
          <w:szCs w:val="20"/>
        </w:rPr>
        <w:t>Turchia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14CC">
        <w:rPr>
          <w:rFonts w:ascii="Times New Roman" w:hAnsi="Times New Roman" w:cs="Times New Roman"/>
          <w:b/>
          <w:sz w:val="20"/>
          <w:szCs w:val="20"/>
        </w:rPr>
        <w:t xml:space="preserve">per </w:t>
      </w:r>
      <w:r>
        <w:rPr>
          <w:rFonts w:ascii="Times New Roman" w:hAnsi="Times New Roman" w:cs="Times New Roman"/>
          <w:b/>
          <w:sz w:val="20"/>
          <w:szCs w:val="20"/>
        </w:rPr>
        <w:t>merce</w:t>
      </w:r>
      <w:r w:rsidRPr="00BC14C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nel 2015</w:t>
      </w:r>
    </w:p>
    <w:tbl>
      <w:tblPr>
        <w:tblW w:w="50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945"/>
        <w:gridCol w:w="945"/>
        <w:gridCol w:w="945"/>
        <w:gridCol w:w="945"/>
        <w:gridCol w:w="712"/>
        <w:gridCol w:w="572"/>
        <w:gridCol w:w="572"/>
        <w:gridCol w:w="572"/>
      </w:tblGrid>
      <w:tr w:rsidR="000C775E" w:rsidRPr="000C775E" w:rsidTr="000C775E">
        <w:trPr>
          <w:trHeight w:val="20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MERCE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variaz</w:t>
            </w:r>
            <w:proofErr w:type="spellEnd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. 2014-2015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% su tot. 2015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import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export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A-PRODOTTI DELL'AGRICOLTURA, DELLA SILVICOLTURA E DELLA PESCA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19.249.058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6.997.391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29.612.075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9.966.169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0,4%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B-PRODOTTI DELL'ESTRAZIONE DI MINERALI DA CAVE E MINIERE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18.837.994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2.419.612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13.621.931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1.420.250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-27,7%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-41,3%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CA-Prodotti alimentari, bevande e tabacco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30.446.934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53.945.096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28.533.805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49.857.432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-7,6%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1,9%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CB-Prodotti tessili, abbigliamento, pelli e accessori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382.247.733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286.619.248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376.596.350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247.718.783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-13,6%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9D2539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9D25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22,2%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9,3%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CC-Legno e prodotti in legno; carta e stampa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11.152.616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58.742.078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15.198.230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57.610.254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36,3%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2,2%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CD-Coke e prodotti petroliferi raffinati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15.751.480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3.000.833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768.749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2.675.926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-95,1%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-10,8%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CE-Sostanze e prodotti chimici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111.165.328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469.542.852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116.726.976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498.428.830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9D2539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9D25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18,7%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CF-Articoli farmaceutici, chimico-medicinali e botanici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2.675.976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38.876.413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1.748.055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42.253.513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-34,7%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1,6%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CG-Articoli in gomma e materie plastiche, altri prodotti della lavorazione di minerali non metalliferi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98.116.403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169.232.870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109.297.353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183.098.776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6,9%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CH-Metalli di base e prodotti in metallo, esclusi macchine e impianti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262.098.464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340.720.735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281.366.362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358.139.252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9D2539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9D25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13,5%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CI-Computer, apparecchi elettronici e ottici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41.394.687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48.224.576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58.403.818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55.096.942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41,1%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14,3%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2,1%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CJ-Apparecchi elettrici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166.573.498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151.661.149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199.805.670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150.894.749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11,8%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5,7%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bookmarkStart w:id="0" w:name="_GoBack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 xml:space="preserve">CK-Macchinari ed apparecchi </w:t>
            </w:r>
            <w:proofErr w:type="spellStart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n.c.a</w:t>
            </w:r>
            <w:proofErr w:type="spellEnd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72.612.122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790.934.756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87.047.761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669.979.326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19,9%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-15,3%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9D2539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9D25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25,2%</w:t>
            </w:r>
          </w:p>
        </w:tc>
      </w:tr>
      <w:bookmarkEnd w:id="0"/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CL-Mezzi di trasporto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245.363.344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182.841.036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329.001.964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263.201.392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44,0%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9D2539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</w:pPr>
            <w:r w:rsidRPr="009D25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>19,4%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9,9%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CM-Prodotti delle altre attività manifatturiere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28.717.266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78.466.279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35.521.276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67.099.201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-14,5%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2,5%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E-PRODOTTI DELLE ATTIVITA' DI TRATTAMENTO DEI RIFIUTI E RISANAMENTO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2.328.586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939.439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3.921.607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3.239.786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68,4%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244,9%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0,2%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J-PRODOTTI DELLE ATTIVITA' DEI SERVIZI DI INFORMAZIONE E COMUNICAZIONE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292.797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2.354.237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248.737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1.434.893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-15,0%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-39,1%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M-PRODOTTI DELLE ATTIVITA' PROFESSIONALI, SCIENTIFICHE E TECNICHE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95.643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33.617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#DIV/0!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-64,9%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R-PRODOTTI DELLE ATTIVITA' ARTISTICHE, SPORTIVE, DI INTRATTENIMENTO E DIVERTIMENTO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59.923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211.685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8.232.666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23.156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13638,7%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-89,1%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0,5%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V-MERCI DICHIARATE COME PROVVISTE DI BORDO, MERCI NAZIONALI DI RITORNO E RESPINTE, MERCI VARIE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1.013.119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69.712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1.243.975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42.810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22,8%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-38,6%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0,0%</w:t>
            </w:r>
          </w:p>
        </w:tc>
      </w:tr>
      <w:tr w:rsidR="000C775E" w:rsidRPr="000C775E" w:rsidTr="000C775E">
        <w:trPr>
          <w:trHeight w:val="20"/>
        </w:trPr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1.510.097.328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2.685.895.640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1.696.897.360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2.662.215.057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12,4%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-0,9%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100,0%</w:t>
            </w:r>
          </w:p>
        </w:tc>
      </w:tr>
    </w:tbl>
    <w:p w:rsidR="00025D94" w:rsidRDefault="00025D94" w:rsidP="00025D94">
      <w:pPr>
        <w:pStyle w:val="Nessunaspaziatura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>laborazion</w:t>
      </w: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 xml:space="preserve"> Camera di c</w:t>
      </w:r>
      <w:r>
        <w:rPr>
          <w:rFonts w:ascii="Times New Roman" w:hAnsi="Times New Roman" w:cs="Times New Roman"/>
          <w:i/>
          <w:sz w:val="20"/>
        </w:rPr>
        <w:t>ommercio di Milano su dati Istat anni 2015 e 2014. Valori cumulati in euro</w:t>
      </w:r>
    </w:p>
    <w:p w:rsidR="00C87AD4" w:rsidRDefault="00C87AD4" w:rsidP="00F77614">
      <w:pPr>
        <w:pStyle w:val="Nessunaspaziatura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C57C6" w:rsidRDefault="004C57C6" w:rsidP="00F77614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7C6">
        <w:rPr>
          <w:rFonts w:ascii="Times New Roman" w:hAnsi="Times New Roman" w:cs="Times New Roman"/>
          <w:b/>
          <w:sz w:val="20"/>
          <w:szCs w:val="20"/>
        </w:rPr>
        <w:t>Export</w:t>
      </w:r>
      <w:r>
        <w:rPr>
          <w:rFonts w:ascii="Times New Roman" w:hAnsi="Times New Roman" w:cs="Times New Roman"/>
          <w:b/>
          <w:sz w:val="20"/>
          <w:szCs w:val="20"/>
        </w:rPr>
        <w:t xml:space="preserve"> lombardo </w:t>
      </w:r>
      <w:r w:rsidR="009A545A">
        <w:rPr>
          <w:rFonts w:ascii="Times New Roman" w:hAnsi="Times New Roman" w:cs="Times New Roman"/>
          <w:b/>
          <w:sz w:val="20"/>
          <w:szCs w:val="20"/>
        </w:rPr>
        <w:t xml:space="preserve">in </w:t>
      </w:r>
      <w:r w:rsidR="000C775E">
        <w:rPr>
          <w:rFonts w:ascii="Times New Roman" w:hAnsi="Times New Roman" w:cs="Times New Roman"/>
          <w:b/>
          <w:sz w:val="20"/>
          <w:szCs w:val="20"/>
        </w:rPr>
        <w:t>Turchia</w:t>
      </w:r>
      <w:r>
        <w:rPr>
          <w:rFonts w:ascii="Times New Roman" w:hAnsi="Times New Roman" w:cs="Times New Roman"/>
          <w:b/>
          <w:sz w:val="20"/>
          <w:szCs w:val="20"/>
        </w:rPr>
        <w:t xml:space="preserve"> per provincia </w:t>
      </w:r>
      <w:r w:rsidR="00025D94">
        <w:rPr>
          <w:rFonts w:ascii="Times New Roman" w:hAnsi="Times New Roman" w:cs="Times New Roman"/>
          <w:b/>
          <w:sz w:val="20"/>
          <w:szCs w:val="20"/>
        </w:rPr>
        <w:t>nel</w:t>
      </w:r>
      <w:r>
        <w:rPr>
          <w:rFonts w:ascii="Times New Roman" w:hAnsi="Times New Roman" w:cs="Times New Roman"/>
          <w:b/>
          <w:sz w:val="20"/>
          <w:szCs w:val="20"/>
        </w:rPr>
        <w:t xml:space="preserve"> 2015</w:t>
      </w:r>
    </w:p>
    <w:tbl>
      <w:tblPr>
        <w:tblW w:w="544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725"/>
        <w:gridCol w:w="725"/>
        <w:gridCol w:w="660"/>
        <w:gridCol w:w="790"/>
        <w:gridCol w:w="790"/>
        <w:gridCol w:w="790"/>
        <w:gridCol w:w="725"/>
        <w:gridCol w:w="725"/>
        <w:gridCol w:w="725"/>
        <w:gridCol w:w="726"/>
        <w:gridCol w:w="660"/>
        <w:gridCol w:w="726"/>
      </w:tblGrid>
      <w:tr w:rsidR="000C775E" w:rsidRPr="000C775E" w:rsidTr="000C775E">
        <w:trPr>
          <w:trHeight w:val="20"/>
          <w:jc w:val="center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MERCE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Varese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Como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Sondrio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Milano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Bergamo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Brescia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Pavia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Cremona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Mantova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Lecco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Lodi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Monza e  Brianza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3"/>
                <w:lang w:eastAsia="it-IT"/>
              </w:rPr>
              <w:t>export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A-PRODOTTI DELL'AGRICOLTURA, DELLA SILVICOLTURA E DELLA PESCA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863.217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865.353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301.230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388.214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699.993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4.931.283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1.633.451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200.900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82.528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B-PRODOTTI DELL'ESTRAZIONE DI MINERALI DA CAVE E MINIERE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33.032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1.304.331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16.407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9.520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28.660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18.300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CA-Prodotti alimentari, bevande e tabacco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1.226.495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118.176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24.945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24.027.490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3.680.925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1.441.540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11.844.471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1.550.538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4.255.946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127.607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1.559.299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CB-Prodotti tessili, abbigliamento, pelli e accessori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16.164.436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36.302.247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10.479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142.812.279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17.166.391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4.330.075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3.347.170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4.753.113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11.338.252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3.532.063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1.044.829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6.917.449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CC-Legno e prodotti in legno; carta e stampa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3.842.502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7.606.563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10.670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30.348.738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10.060.737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1.508.260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1.317.795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846.828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188.446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782.989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1.088.726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CD-Coke e prodotti petroliferi raffinati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6.352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2.394.779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16.403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226.690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28.886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2.816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CE-Sostanze e prodotti chimici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52.318.219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21.002.155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150.450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248.800.132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41.467.826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14.516.619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15.886.076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7.703.720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33.787.134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647.292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5.585.816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56.563.391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CF-Articoli farmaceutici, chimico-medicinali e botanici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35.135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969.488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48.104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26.415.855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239.268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536.629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3.585.971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145.943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132.876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303.807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9.840.437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CG-Articoli in gomma e materie plastiche, altri prodotti della lavorazione di minerali non metalliferi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24.091.065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4.579.808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1.412.799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73.390.205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15.748.366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5.919.791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4.409.583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34.692.070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3.462.729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2.278.842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4.372.529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8.740.989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CH-Metalli di base e prodotti in metallo, esclusi macchine e impianti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13.938.750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12.016.778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1.227.801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108.134.790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24.849.203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79.595.666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4.386.827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14.736.385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47.579.740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32.749.359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1.065.134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17.858.819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CI-Computer, apparecchi elettronici e ottici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5.150.732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1.537.146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26.120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28.934.607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5.758.340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4.759.745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1.557.354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347.674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494.215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357.982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118.656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6.054.371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CJ-Apparecchi elettrici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12.326.061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2.324.368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1.145.243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64.169.372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14.248.573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35.974.152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362.317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1.160.456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1.093.496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3.952.920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5.342.669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8.795.122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 xml:space="preserve">CK-Macchinari ed apparecchi </w:t>
            </w:r>
            <w:proofErr w:type="spellStart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n.c.a</w:t>
            </w:r>
            <w:proofErr w:type="spellEnd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77.037.613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28.434.417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4.442.374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218.124.856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130.922.333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100.478.540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21.653.366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13.455.261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17.853.177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17.155.676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2.827.145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37.594.568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CL-Mezzi di trasporto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66.283.636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8.606.345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24.782.695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9.228.131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67.985.309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300.104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524.319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66.226.225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788.683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122.635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18.353.310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lastRenderedPageBreak/>
              <w:t>CM-Prodotti delle altre attività manifatturiere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1.211.443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11.625.145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759.069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31.949.794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5.068.681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3.677.089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974.047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162.703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1.365.063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2.110.928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27.887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8.167.352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E-PRODOTTI DELLE ATTIVITA' DI TRATTAMENTO DEI RIFIUTI E RISANAMENTO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608.255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678.743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1.813.040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28.508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111.240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J-PRODOTTI DELLE ATTIVITA' DEI SERVIZI DI INFORMAZIONE E COMUNICAZIONE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17.520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124.061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954.276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201.691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33.962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5.116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26.251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37.898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1.842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1.413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30.863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M-PRODOTTI DELLE ATTIVITA' PROFESSIONALI, SCIENTIFICHE E TECNICHE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31.089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2.528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R-PRODOTTI DELLE ATTIVITA' ARTISTICHE, SPORTIVE, DI INTRATTENIMENTO E DIVERTIMENTO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20.150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3.006</w:t>
            </w:r>
          </w:p>
        </w:tc>
      </w:tr>
      <w:tr w:rsidR="000C775E" w:rsidRPr="000C775E" w:rsidTr="000C775E">
        <w:trPr>
          <w:trHeight w:val="20"/>
          <w:jc w:val="center"/>
        </w:trPr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V-MERCI DICHIARATE COME PROVVISTE DI BORDO, MERCI NAZIONALI DI RITORNO E RESPINTE, MERCI VARIE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2.930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37.080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1.300</w:t>
            </w:r>
          </w:p>
        </w:tc>
      </w:tr>
    </w:tbl>
    <w:p w:rsidR="00025D94" w:rsidRDefault="00025D94" w:rsidP="00025D94">
      <w:pPr>
        <w:pStyle w:val="Nessunaspaziatura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>laborazion</w:t>
      </w: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 xml:space="preserve"> Camera di c</w:t>
      </w:r>
      <w:r>
        <w:rPr>
          <w:rFonts w:ascii="Times New Roman" w:hAnsi="Times New Roman" w:cs="Times New Roman"/>
          <w:i/>
          <w:sz w:val="20"/>
        </w:rPr>
        <w:t>ommercio di Milano su dati Istat anni 2015 e 2014. Valori cumulati in euro</w:t>
      </w:r>
    </w:p>
    <w:p w:rsidR="00736AC8" w:rsidRDefault="00736AC8" w:rsidP="00025D94">
      <w:pPr>
        <w:pStyle w:val="Nessunaspaziatura"/>
        <w:jc w:val="center"/>
        <w:rPr>
          <w:rFonts w:ascii="Times New Roman" w:hAnsi="Times New Roman" w:cs="Times New Roman"/>
          <w:i/>
          <w:sz w:val="20"/>
        </w:rPr>
      </w:pPr>
    </w:p>
    <w:p w:rsidR="00025D94" w:rsidRDefault="00025D94" w:rsidP="00025D94">
      <w:pPr>
        <w:pStyle w:val="Nessunaspaziatur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Import lombardo dalla </w:t>
      </w:r>
      <w:r w:rsidR="000C775E">
        <w:rPr>
          <w:rFonts w:ascii="Times New Roman" w:hAnsi="Times New Roman" w:cs="Times New Roman"/>
          <w:b/>
          <w:sz w:val="20"/>
          <w:szCs w:val="20"/>
        </w:rPr>
        <w:t>Turchia</w:t>
      </w:r>
      <w:r>
        <w:rPr>
          <w:rFonts w:ascii="Times New Roman" w:hAnsi="Times New Roman" w:cs="Times New Roman"/>
          <w:b/>
          <w:sz w:val="20"/>
          <w:szCs w:val="20"/>
        </w:rPr>
        <w:t xml:space="preserve"> per provincia nel 2015</w:t>
      </w:r>
    </w:p>
    <w:tbl>
      <w:tblPr>
        <w:tblW w:w="534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725"/>
        <w:gridCol w:w="725"/>
        <w:gridCol w:w="581"/>
        <w:gridCol w:w="790"/>
        <w:gridCol w:w="725"/>
        <w:gridCol w:w="725"/>
        <w:gridCol w:w="660"/>
        <w:gridCol w:w="660"/>
        <w:gridCol w:w="726"/>
        <w:gridCol w:w="726"/>
        <w:gridCol w:w="660"/>
        <w:gridCol w:w="725"/>
      </w:tblGrid>
      <w:tr w:rsidR="000C775E" w:rsidRPr="000C775E" w:rsidTr="009D60F2">
        <w:trPr>
          <w:trHeight w:val="20"/>
          <w:jc w:val="center"/>
        </w:trPr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MERCE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Varese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Como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Sondrio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Milano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Bergamo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Brescia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Pavia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Cremona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Mantova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Lecco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Lodi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Monza e  Brianza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import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A-PRODOTTI DELL'AGRICOLTURA, DELLA SILVICOLTURA E DELLA PESCA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4.021.582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13.386.528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818.627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6.515.103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953.476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3.831.883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84.876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B-PRODOTTI DELL'ESTRAZIONE DI MINERALI DA CAVE E MINIERE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366.524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76.619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10.549.031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1.519.666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985.422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17.133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7.014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85.400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15.122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CA-Prodotti alimentari, bevande e tabacco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1.414.393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155.145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20.299.321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4.286.599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1.147.113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47.672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232.489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756.240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49.500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145.333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CB-Prodotti tessili, abbigliamento, pelli e accessori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29.840.260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20.497.188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141.369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177.915.493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54.989.681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37.158.226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5.043.611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4.073.106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25.280.481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6.828.920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3.447.143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11.380.872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CC-Legno e prodotti in legno; carta e stampa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221.103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6.074.486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126.210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2.777.073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142.880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475.964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1.060.966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214.000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575.633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1.868.890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24.345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1.636.680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CD-Coke e prodotti petroliferi raffinati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768.749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CE-Sostanze e prodotti chimici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10.297.383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8.181.095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603.724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36.678.188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28.338.813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7.299.751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168.629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9.307.616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12.669.279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2.542.958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210.867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428.673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CF-Articoli farmaceutici, chimico-medicinali e botanici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164.304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4.390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988.496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16.750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314.721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259.394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CG-Articoli in gomma e materie plastiche, altri prodotti della lavorazione di minerali non metalliferi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5.723.423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5.614.013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315.655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63.519.606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9.167.790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4.714.929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1.356.498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2.597.765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8.278.710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1.215.341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182.308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6.611.315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CH-Metalli di base e prodotti in metallo, esclusi macchine e impianti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9.652.006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6.015.617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226.835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79.113.653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25.218.885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85.310.168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4.225.233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1.996.118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48.188.757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16.875.568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188.813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4.354.709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CI-Computer, apparecchi elettronici e ottici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229.629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56.161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56.837.830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101.825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168.095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231.729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19.566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8.141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7.726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743.116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CJ-Apparecchi elettrici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12.779.807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1.802.749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16.004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146.950.696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6.702.624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3.119.765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94.537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877.072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28.609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17.123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3.338.293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3A0CEF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3A0CEF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24.078.391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 xml:space="preserve">CK-Macchinari ed apparecchi </w:t>
            </w:r>
            <w:proofErr w:type="spellStart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n.c.a</w:t>
            </w:r>
            <w:proofErr w:type="spellEnd"/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6.033.279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2.858.535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13.501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54.999.762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6.489.183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6.911.613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1.357.337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909.649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1.767.637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1.296.067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80.650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4.330.548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CL-Mezzi di trasporto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455.561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12.740.449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72.360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EC72F4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</w:pPr>
            <w:r w:rsidRPr="00EC72F4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it-IT"/>
              </w:rPr>
              <w:t>283.718.836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3.360.454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1.253.473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42.968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462.149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13.160.848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3.624.782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10.110.084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CM-Prodotti delle altre attività manifatturiere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540.612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411.611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16.938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29.800.483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469.185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2.476.350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405.223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4.455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643.049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119.784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80.741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552.845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E-PRODOTTI DELLE ATTIVITA' DI TRATTAMENTO DEI RIFIUTI E RISANAMENTO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25.463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3.804.825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34.290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54.315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2.714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J-PRODOTTI DELLE ATTIVITA' DEI SERVIZI DI INFORMAZIONE E COMUNICAZIONE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18.034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4.965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173.643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7.150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23.769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10.874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1.326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8.976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R-PRODOTTI DELLE ATTIVITA' ARTISTICHE, SPORTIVE, DI INTRATTENIMENTO E DIVERTIMENTO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228.955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8.000.985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2.726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</w:tr>
      <w:tr w:rsidR="000C775E" w:rsidRPr="000C775E" w:rsidTr="009D60F2">
        <w:trPr>
          <w:trHeight w:val="20"/>
          <w:jc w:val="center"/>
        </w:trPr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75E" w:rsidRPr="000C775E" w:rsidRDefault="000C775E" w:rsidP="000C7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it-IT"/>
              </w:rPr>
              <w:t>V-MERCI DICHIARATE COME PROVVISTE DI BORDO, MERCI NAZIONALI DI RITORNO E RESPINTE, MERCI VARIE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37.194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60.488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194.483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681.606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91.444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26.269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71.059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75E" w:rsidRPr="000C775E" w:rsidRDefault="000C775E" w:rsidP="000C7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</w:pPr>
            <w:r w:rsidRPr="000C775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it-IT"/>
              </w:rPr>
              <w:t>81.432</w:t>
            </w:r>
          </w:p>
        </w:tc>
      </w:tr>
    </w:tbl>
    <w:p w:rsidR="00025D94" w:rsidRDefault="00025D94" w:rsidP="00025D94">
      <w:pPr>
        <w:pStyle w:val="Nessunaspaziatura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>laborazion</w:t>
      </w:r>
      <w:r>
        <w:rPr>
          <w:rFonts w:ascii="Times New Roman" w:hAnsi="Times New Roman" w:cs="Times New Roman"/>
          <w:i/>
          <w:sz w:val="20"/>
        </w:rPr>
        <w:t>e</w:t>
      </w:r>
      <w:r w:rsidRPr="00AE5A62">
        <w:rPr>
          <w:rFonts w:ascii="Times New Roman" w:hAnsi="Times New Roman" w:cs="Times New Roman"/>
          <w:i/>
          <w:sz w:val="20"/>
        </w:rPr>
        <w:t xml:space="preserve"> Camera di c</w:t>
      </w:r>
      <w:r>
        <w:rPr>
          <w:rFonts w:ascii="Times New Roman" w:hAnsi="Times New Roman" w:cs="Times New Roman"/>
          <w:i/>
          <w:sz w:val="20"/>
        </w:rPr>
        <w:t>ommercio di Milano su dati Istat anni 2015 e 2014. Valori cumulati in euro</w:t>
      </w:r>
    </w:p>
    <w:sectPr w:rsidR="00025D94" w:rsidSect="007D6046">
      <w:type w:val="continuous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C4B"/>
    <w:multiLevelType w:val="multilevel"/>
    <w:tmpl w:val="FDBC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15D58"/>
    <w:multiLevelType w:val="multilevel"/>
    <w:tmpl w:val="63D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55A42"/>
    <w:multiLevelType w:val="multilevel"/>
    <w:tmpl w:val="D33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22"/>
    <w:rsid w:val="00002491"/>
    <w:rsid w:val="0000787B"/>
    <w:rsid w:val="0001656A"/>
    <w:rsid w:val="00025D94"/>
    <w:rsid w:val="00030869"/>
    <w:rsid w:val="0003647E"/>
    <w:rsid w:val="0003734D"/>
    <w:rsid w:val="000512AB"/>
    <w:rsid w:val="000578FC"/>
    <w:rsid w:val="00074414"/>
    <w:rsid w:val="000752AF"/>
    <w:rsid w:val="00075746"/>
    <w:rsid w:val="000768A0"/>
    <w:rsid w:val="000816CD"/>
    <w:rsid w:val="000854B0"/>
    <w:rsid w:val="00087BAC"/>
    <w:rsid w:val="000903F4"/>
    <w:rsid w:val="000B14CA"/>
    <w:rsid w:val="000B157D"/>
    <w:rsid w:val="000B36F9"/>
    <w:rsid w:val="000C4073"/>
    <w:rsid w:val="000C775E"/>
    <w:rsid w:val="000F0B57"/>
    <w:rsid w:val="000F79A1"/>
    <w:rsid w:val="00124846"/>
    <w:rsid w:val="00125E23"/>
    <w:rsid w:val="00134268"/>
    <w:rsid w:val="00146AFA"/>
    <w:rsid w:val="00160A65"/>
    <w:rsid w:val="00167F21"/>
    <w:rsid w:val="001905D4"/>
    <w:rsid w:val="001921A0"/>
    <w:rsid w:val="001A29D8"/>
    <w:rsid w:val="001B6B69"/>
    <w:rsid w:val="001C33D4"/>
    <w:rsid w:val="001D61C3"/>
    <w:rsid w:val="00232522"/>
    <w:rsid w:val="0023587F"/>
    <w:rsid w:val="00245641"/>
    <w:rsid w:val="00250A9D"/>
    <w:rsid w:val="002673DD"/>
    <w:rsid w:val="00277565"/>
    <w:rsid w:val="002A06EC"/>
    <w:rsid w:val="002B2309"/>
    <w:rsid w:val="002D14D6"/>
    <w:rsid w:val="002D5B24"/>
    <w:rsid w:val="002F1E85"/>
    <w:rsid w:val="002F52A0"/>
    <w:rsid w:val="00316B80"/>
    <w:rsid w:val="00320D67"/>
    <w:rsid w:val="00327A25"/>
    <w:rsid w:val="00331786"/>
    <w:rsid w:val="00336F55"/>
    <w:rsid w:val="003461BE"/>
    <w:rsid w:val="00353431"/>
    <w:rsid w:val="003572EA"/>
    <w:rsid w:val="003A0CEF"/>
    <w:rsid w:val="003A222B"/>
    <w:rsid w:val="003A5262"/>
    <w:rsid w:val="003A6156"/>
    <w:rsid w:val="003C1D02"/>
    <w:rsid w:val="003C3599"/>
    <w:rsid w:val="003C514C"/>
    <w:rsid w:val="003E5480"/>
    <w:rsid w:val="004044FF"/>
    <w:rsid w:val="00414298"/>
    <w:rsid w:val="004300F5"/>
    <w:rsid w:val="004305C9"/>
    <w:rsid w:val="00450D1C"/>
    <w:rsid w:val="004558D1"/>
    <w:rsid w:val="00461B89"/>
    <w:rsid w:val="00475B40"/>
    <w:rsid w:val="00480952"/>
    <w:rsid w:val="00484DD9"/>
    <w:rsid w:val="00487E1A"/>
    <w:rsid w:val="004965E3"/>
    <w:rsid w:val="004A3129"/>
    <w:rsid w:val="004A7C52"/>
    <w:rsid w:val="004B2179"/>
    <w:rsid w:val="004B33A1"/>
    <w:rsid w:val="004B4378"/>
    <w:rsid w:val="004B5CED"/>
    <w:rsid w:val="004C0436"/>
    <w:rsid w:val="004C45DF"/>
    <w:rsid w:val="004C57C6"/>
    <w:rsid w:val="004E7639"/>
    <w:rsid w:val="00500C54"/>
    <w:rsid w:val="00511B69"/>
    <w:rsid w:val="00536CE9"/>
    <w:rsid w:val="00550203"/>
    <w:rsid w:val="0056775D"/>
    <w:rsid w:val="00586431"/>
    <w:rsid w:val="005A4767"/>
    <w:rsid w:val="005B4B81"/>
    <w:rsid w:val="005F2DB7"/>
    <w:rsid w:val="005F6F27"/>
    <w:rsid w:val="00604538"/>
    <w:rsid w:val="00613CA9"/>
    <w:rsid w:val="00615C00"/>
    <w:rsid w:val="00615D04"/>
    <w:rsid w:val="00651C57"/>
    <w:rsid w:val="006704EF"/>
    <w:rsid w:val="00681D5E"/>
    <w:rsid w:val="00686C38"/>
    <w:rsid w:val="006B1AB4"/>
    <w:rsid w:val="006B1DB1"/>
    <w:rsid w:val="006E0456"/>
    <w:rsid w:val="007208FB"/>
    <w:rsid w:val="00720D2F"/>
    <w:rsid w:val="00730064"/>
    <w:rsid w:val="0073352A"/>
    <w:rsid w:val="00736AC8"/>
    <w:rsid w:val="007526C7"/>
    <w:rsid w:val="0075696B"/>
    <w:rsid w:val="00763FFD"/>
    <w:rsid w:val="007763D1"/>
    <w:rsid w:val="007A2CA4"/>
    <w:rsid w:val="007D1A0B"/>
    <w:rsid w:val="007D6046"/>
    <w:rsid w:val="007F0108"/>
    <w:rsid w:val="007F0D13"/>
    <w:rsid w:val="007F3999"/>
    <w:rsid w:val="00801DB4"/>
    <w:rsid w:val="0081084C"/>
    <w:rsid w:val="0082143E"/>
    <w:rsid w:val="008266DA"/>
    <w:rsid w:val="00826E41"/>
    <w:rsid w:val="008434B8"/>
    <w:rsid w:val="0087263B"/>
    <w:rsid w:val="00874B6A"/>
    <w:rsid w:val="008B3D6B"/>
    <w:rsid w:val="008C009B"/>
    <w:rsid w:val="008D149A"/>
    <w:rsid w:val="008E2C54"/>
    <w:rsid w:val="008E521C"/>
    <w:rsid w:val="008F43C3"/>
    <w:rsid w:val="0090682F"/>
    <w:rsid w:val="00914153"/>
    <w:rsid w:val="00914399"/>
    <w:rsid w:val="00915020"/>
    <w:rsid w:val="0091683B"/>
    <w:rsid w:val="00930CC0"/>
    <w:rsid w:val="00935F4F"/>
    <w:rsid w:val="00943133"/>
    <w:rsid w:val="00943A88"/>
    <w:rsid w:val="00950B18"/>
    <w:rsid w:val="00955E2E"/>
    <w:rsid w:val="00964716"/>
    <w:rsid w:val="00970F7D"/>
    <w:rsid w:val="009727F7"/>
    <w:rsid w:val="009807D6"/>
    <w:rsid w:val="00985D97"/>
    <w:rsid w:val="009A4796"/>
    <w:rsid w:val="009A545A"/>
    <w:rsid w:val="009A7D3C"/>
    <w:rsid w:val="009B7B5B"/>
    <w:rsid w:val="009C0A7F"/>
    <w:rsid w:val="009D1A47"/>
    <w:rsid w:val="009D2539"/>
    <w:rsid w:val="009D60F2"/>
    <w:rsid w:val="009F4F89"/>
    <w:rsid w:val="00A03136"/>
    <w:rsid w:val="00A200B4"/>
    <w:rsid w:val="00A425A6"/>
    <w:rsid w:val="00A46043"/>
    <w:rsid w:val="00A73632"/>
    <w:rsid w:val="00AA5883"/>
    <w:rsid w:val="00AC2391"/>
    <w:rsid w:val="00AC6F4A"/>
    <w:rsid w:val="00AD725C"/>
    <w:rsid w:val="00AD7778"/>
    <w:rsid w:val="00AE5A62"/>
    <w:rsid w:val="00B005C1"/>
    <w:rsid w:val="00B162F9"/>
    <w:rsid w:val="00B27AFC"/>
    <w:rsid w:val="00B44104"/>
    <w:rsid w:val="00B510D4"/>
    <w:rsid w:val="00B5259F"/>
    <w:rsid w:val="00B70F04"/>
    <w:rsid w:val="00BA4111"/>
    <w:rsid w:val="00BA6B1D"/>
    <w:rsid w:val="00BB2006"/>
    <w:rsid w:val="00BB41EC"/>
    <w:rsid w:val="00BB618B"/>
    <w:rsid w:val="00BC14CC"/>
    <w:rsid w:val="00BD1B4D"/>
    <w:rsid w:val="00C21FDE"/>
    <w:rsid w:val="00C416C9"/>
    <w:rsid w:val="00C43BE2"/>
    <w:rsid w:val="00C454CA"/>
    <w:rsid w:val="00C56BB5"/>
    <w:rsid w:val="00C8723E"/>
    <w:rsid w:val="00C87AD4"/>
    <w:rsid w:val="00C93998"/>
    <w:rsid w:val="00C94873"/>
    <w:rsid w:val="00C95F1F"/>
    <w:rsid w:val="00CA385A"/>
    <w:rsid w:val="00CE78A8"/>
    <w:rsid w:val="00D2053E"/>
    <w:rsid w:val="00D236B8"/>
    <w:rsid w:val="00D408D8"/>
    <w:rsid w:val="00D4564C"/>
    <w:rsid w:val="00D66C79"/>
    <w:rsid w:val="00DA2E6B"/>
    <w:rsid w:val="00DA430A"/>
    <w:rsid w:val="00DC16B2"/>
    <w:rsid w:val="00DE1732"/>
    <w:rsid w:val="00DF66FE"/>
    <w:rsid w:val="00DF7C9C"/>
    <w:rsid w:val="00E05C0B"/>
    <w:rsid w:val="00E15713"/>
    <w:rsid w:val="00E16C7C"/>
    <w:rsid w:val="00E3525B"/>
    <w:rsid w:val="00E736A9"/>
    <w:rsid w:val="00E81F0F"/>
    <w:rsid w:val="00E9572B"/>
    <w:rsid w:val="00E97671"/>
    <w:rsid w:val="00EA18C6"/>
    <w:rsid w:val="00EC67A2"/>
    <w:rsid w:val="00EC72F4"/>
    <w:rsid w:val="00ED2F26"/>
    <w:rsid w:val="00ED4270"/>
    <w:rsid w:val="00EF7AA4"/>
    <w:rsid w:val="00F24273"/>
    <w:rsid w:val="00F36B9B"/>
    <w:rsid w:val="00F57E99"/>
    <w:rsid w:val="00F77614"/>
    <w:rsid w:val="00FA0B6E"/>
    <w:rsid w:val="00FB1684"/>
    <w:rsid w:val="00FC2008"/>
    <w:rsid w:val="00FC2E0B"/>
    <w:rsid w:val="00FE4CA1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525B"/>
    <w:pPr>
      <w:spacing w:after="0" w:line="240" w:lineRule="auto"/>
    </w:pPr>
  </w:style>
  <w:style w:type="paragraph" w:customStyle="1" w:styleId="Default">
    <w:name w:val="Default"/>
    <w:rsid w:val="001D6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36F55"/>
  </w:style>
  <w:style w:type="character" w:styleId="Enfasigrassetto">
    <w:name w:val="Strong"/>
    <w:basedOn w:val="Carpredefinitoparagrafo"/>
    <w:uiPriority w:val="22"/>
    <w:qFormat/>
    <w:rsid w:val="00336F5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558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525B"/>
    <w:pPr>
      <w:spacing w:after="0" w:line="240" w:lineRule="auto"/>
    </w:pPr>
  </w:style>
  <w:style w:type="paragraph" w:customStyle="1" w:styleId="Default">
    <w:name w:val="Default"/>
    <w:rsid w:val="001D6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36F55"/>
  </w:style>
  <w:style w:type="character" w:styleId="Enfasigrassetto">
    <w:name w:val="Strong"/>
    <w:basedOn w:val="Carpredefinitoparagrafo"/>
    <w:uiPriority w:val="22"/>
    <w:qFormat/>
    <w:rsid w:val="00336F5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558D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FD1A-A5CD-4769-BE1D-2AF9FE02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Blandino</dc:creator>
  <cp:lastModifiedBy>Antonella Patrizia Barberis</cp:lastModifiedBy>
  <cp:revision>6</cp:revision>
  <cp:lastPrinted>2016-01-18T09:15:00Z</cp:lastPrinted>
  <dcterms:created xsi:type="dcterms:W3CDTF">2016-07-20T07:35:00Z</dcterms:created>
  <dcterms:modified xsi:type="dcterms:W3CDTF">2016-07-20T08:04:00Z</dcterms:modified>
</cp:coreProperties>
</file>